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4C" w:rsidRPr="0070144C" w:rsidRDefault="00566E8F" w:rsidP="00E5262D">
      <w:pPr>
        <w:shd w:val="clear" w:color="auto" w:fill="FFFFFF"/>
        <w:spacing w:after="375" w:line="240" w:lineRule="auto"/>
        <w:outlineLvl w:val="1"/>
        <w:rPr>
          <w:rFonts w:ascii="Times New Roman" w:hAnsi="Times New Roman" w:cs="Times New Roman"/>
          <w:caps/>
          <w:color w:val="auto"/>
          <w:kern w:val="36"/>
          <w:sz w:val="28"/>
          <w:szCs w:val="24"/>
          <w:u w:color="009DAC"/>
        </w:rPr>
      </w:pPr>
      <w:r>
        <w:rPr>
          <w:rFonts w:ascii="Times New Roman" w:hAnsi="Times New Roman" w:cs="Times New Roman"/>
          <w:caps/>
          <w:noProof/>
          <w:color w:val="auto"/>
          <w:kern w:val="36"/>
          <w:sz w:val="28"/>
          <w:szCs w:val="24"/>
          <w:u w:color="009DA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-549275</wp:posOffset>
            </wp:positionV>
            <wp:extent cx="7421880" cy="1688465"/>
            <wp:effectExtent l="0" t="0" r="762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88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44C" w:rsidRPr="0070144C">
        <w:rPr>
          <w:rFonts w:ascii="Times New Roman" w:hAnsi="Times New Roman" w:cs="Times New Roman"/>
          <w:caps/>
          <w:color w:val="auto"/>
          <w:kern w:val="36"/>
          <w:sz w:val="28"/>
          <w:szCs w:val="24"/>
          <w:u w:color="009DAC"/>
        </w:rPr>
        <w:t>ПОСТ-РЕЛИЗ</w:t>
      </w:r>
    </w:p>
    <w:p w:rsidR="00870B70" w:rsidRPr="00040825" w:rsidRDefault="00E002C4" w:rsidP="00E5262D">
      <w:pPr>
        <w:pBdr>
          <w:bottom w:val="single" w:sz="6" w:space="2" w:color="009DAC"/>
        </w:pBdr>
        <w:shd w:val="clear" w:color="auto" w:fill="FFFFFF"/>
        <w:spacing w:after="375" w:line="240" w:lineRule="auto"/>
        <w:outlineLvl w:val="0"/>
        <w:rPr>
          <w:rFonts w:ascii="Arial" w:eastAsia="Times New Roman" w:hAnsi="Arial" w:cs="Arial"/>
          <w:caps/>
          <w:color w:val="009DAC"/>
          <w:kern w:val="36"/>
          <w:sz w:val="36"/>
          <w:szCs w:val="36"/>
        </w:rPr>
      </w:pPr>
      <w:r w:rsidRPr="00040825">
        <w:rPr>
          <w:rFonts w:ascii="Arial" w:eastAsia="Times New Roman" w:hAnsi="Arial" w:cs="Arial"/>
          <w:caps/>
          <w:color w:val="009DAC"/>
          <w:kern w:val="36"/>
          <w:sz w:val="36"/>
          <w:szCs w:val="36"/>
        </w:rPr>
        <w:t>В москве прошла международная конференция ЕССЕ</w:t>
      </w:r>
    </w:p>
    <w:p w:rsidR="00E5262D" w:rsidRPr="00117E9A" w:rsidRDefault="00E5262D" w:rsidP="00124397">
      <w:pPr>
        <w:shd w:val="clear" w:color="auto" w:fill="FFFFFF"/>
        <w:spacing w:before="100" w:after="100" w:line="240" w:lineRule="auto"/>
        <w:rPr>
          <w:rFonts w:ascii="Times New Roman" w:hAnsi="Times New Roman" w:cs="Times New Roman"/>
          <w:b/>
          <w:color w:val="535353" w:themeColor="text2" w:themeShade="80"/>
          <w:sz w:val="24"/>
          <w:szCs w:val="24"/>
          <w:u w:color="808080"/>
        </w:rPr>
      </w:pPr>
      <w:r w:rsidRPr="00117E9A">
        <w:rPr>
          <w:rFonts w:ascii="Times New Roman" w:hAnsi="Times New Roman" w:cs="Times New Roman"/>
          <w:b/>
          <w:color w:val="535353" w:themeColor="text2" w:themeShade="80"/>
          <w:sz w:val="24"/>
          <w:szCs w:val="24"/>
          <w:u w:color="808080"/>
        </w:rPr>
        <w:t>С 10 по 13 мая в МГУ им. М. В. Ломоносова прошла VI Международная научно-практическая конференция «Воспитание и обучение детей младшего возраста».</w:t>
      </w:r>
    </w:p>
    <w:p w:rsidR="00870B70" w:rsidRPr="00117E9A" w:rsidRDefault="00E002C4" w:rsidP="00124397">
      <w:pPr>
        <w:shd w:val="clear" w:color="auto" w:fill="FFFFFF"/>
        <w:spacing w:before="100" w:after="100" w:line="240" w:lineRule="auto"/>
        <w:rPr>
          <w:rFonts w:ascii="Times New Roman" w:eastAsia="PT Sans Narrow" w:hAnsi="Times New Roman" w:cs="Times New Roman"/>
          <w:color w:val="535353" w:themeColor="text2" w:themeShade="80"/>
          <w:sz w:val="24"/>
          <w:szCs w:val="24"/>
          <w:u w:color="808080"/>
        </w:rPr>
      </w:pPr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Это ключевое событие в области дошкольного образования и исследований детства собрало экспертов из 25 стран и 75 субъектов Российской Федерации. Мероприятие ежегодно проходит при поддержке Министерства образования и науки Российской Федерации, Комиссии РФ по делам ЮНЕСКО, Российской академии образования, Российского психологического общества, Всемирного банка</w:t>
      </w:r>
      <w:r w:rsidR="00566E8F"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, Общественной палаты РФ</w:t>
      </w:r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.</w:t>
      </w:r>
    </w:p>
    <w:p w:rsidR="00870B70" w:rsidRPr="00117E9A" w:rsidRDefault="00E002C4" w:rsidP="00124397">
      <w:pPr>
        <w:shd w:val="clear" w:color="auto" w:fill="FFFFFF"/>
        <w:spacing w:before="100" w:after="100" w:line="240" w:lineRule="auto"/>
        <w:rPr>
          <w:rFonts w:ascii="Times New Roman" w:eastAsia="PT Sans Narrow" w:hAnsi="Times New Roman" w:cs="Times New Roman"/>
          <w:color w:val="535353" w:themeColor="text2" w:themeShade="80"/>
          <w:sz w:val="24"/>
          <w:szCs w:val="24"/>
          <w:u w:color="808080"/>
        </w:rPr>
      </w:pPr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На торже</w:t>
      </w:r>
      <w:r w:rsidR="002969CF"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ственном открытии с приветственным словом</w:t>
      </w:r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 выступили председатель Организационного комитета Конференции, ректор МГУ им. М. В. Ломоносова Виктор Садовничий, президент РАО Людмила Вербицкая, заместитель председателя комитета Государственной Думы РФ по образованию и науке Любовь Духанина. Спикеры отметили возрастающую роль </w:t>
      </w:r>
      <w:proofErr w:type="gramStart"/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дошкольного</w:t>
      </w:r>
      <w:proofErr w:type="gramEnd"/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 образования в обществе, обозначили ключевые темы предстоящей работы.</w:t>
      </w:r>
    </w:p>
    <w:p w:rsidR="00124397" w:rsidRPr="00117E9A" w:rsidRDefault="00755F33" w:rsidP="00124397">
      <w:pPr>
        <w:spacing w:line="240" w:lineRule="auto"/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</w:pPr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Ежегодно одно из зарубежных госуда</w:t>
      </w:r>
      <w:proofErr w:type="gramStart"/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рств ст</w:t>
      </w:r>
      <w:proofErr w:type="gramEnd"/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ановится страной-партнером мероприятия. В 2017 году эту п</w:t>
      </w:r>
      <w:r w:rsidR="00E002C4"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очетную роль взяли на себя Соединенные Штаты Америки. Конференцию официально поддержали Американская психологическая ассоциация и Национальная ассоциация по обучению детей младшего возраста.  </w:t>
      </w:r>
      <w:r w:rsidR="00124397"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Одним из результатов международного сотрудничества в рамках Конференции стало подписание соглашений между Американской психологической ассоциацией (АРА) и Российским психологическим обществом; Российским  психологическим обществом и Испанской психологической ассоциацией. </w:t>
      </w:r>
    </w:p>
    <w:p w:rsidR="00870B70" w:rsidRPr="00117E9A" w:rsidRDefault="00E002C4" w:rsidP="00124397">
      <w:pPr>
        <w:spacing w:line="240" w:lineRule="auto"/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</w:pPr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Американскую делегацию на конференции возглавил президент Американской психологической ассоциации, доктор философии, профессор Антонио </w:t>
      </w:r>
      <w:proofErr w:type="spellStart"/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Пуэнтэ</w:t>
      </w:r>
      <w:proofErr w:type="spellEnd"/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. Испанское психологическое сообщество представил профессор Франциско </w:t>
      </w:r>
      <w:proofErr w:type="spellStart"/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Сантояла</w:t>
      </w:r>
      <w:proofErr w:type="spellEnd"/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 </w:t>
      </w:r>
      <w:proofErr w:type="spellStart"/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Очандо</w:t>
      </w:r>
      <w:proofErr w:type="spellEnd"/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. С российской стороны соглашения завизировал президент Российского психологического общества, декан факультета психологии МГУ им</w:t>
      </w:r>
      <w:r w:rsidR="002969CF"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.</w:t>
      </w:r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 М. В. Ломоносова, академик РАО, профессор Юрий Зинченко.</w:t>
      </w:r>
      <w:r w:rsidR="00124397"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 </w:t>
      </w:r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«Подписание меморандумов </w:t>
      </w:r>
      <w:r w:rsidR="002969CF"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–</w:t>
      </w:r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 это действительно исторический момент», </w:t>
      </w:r>
      <w:r w:rsidR="002969CF"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–</w:t>
      </w:r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 отметил Юрий Петрович.  В 2019 году состоится Европейский психологический конгресс,  который Европейская федерация психологических ассоциаций впервые в истории проведёт в России, в Москве. Подписание неслучайно прошло именно в рамках конференции по воспитанию и обучению детей младшего возраста. «Сегодняшняя совместная работа на конференции дает возможность представить российскую психологию мировому сообществу и показать, как работают наши эксперты, на примере изучения небольшого, но значительного временного отрезка  </w:t>
      </w:r>
      <w:r w:rsidR="002969CF"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–</w:t>
      </w:r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 дошкольного детства. Инвестиции в будущее – это изучение детства. Изучение детства </w:t>
      </w:r>
      <w:r w:rsidR="002969CF"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–</w:t>
      </w:r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  это и есть наше будущее»</w:t>
      </w:r>
      <w:r w:rsidR="00124397"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 – сказ</w:t>
      </w:r>
      <w:r w:rsidR="00BA71CE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ал</w:t>
      </w:r>
      <w:r w:rsidR="00124397"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 в заключение профессор Зинченко</w:t>
      </w:r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.</w:t>
      </w:r>
    </w:p>
    <w:p w:rsidR="00870B70" w:rsidRPr="00117E9A" w:rsidRDefault="00E002C4" w:rsidP="00124397">
      <w:pPr>
        <w:shd w:val="clear" w:color="auto" w:fill="FFFFFF"/>
        <w:spacing w:before="100" w:after="100" w:line="240" w:lineRule="auto"/>
        <w:rPr>
          <w:rFonts w:ascii="Times New Roman" w:eastAsia="PT Sans Narrow" w:hAnsi="Times New Roman" w:cs="Times New Roman"/>
          <w:color w:val="535353" w:themeColor="text2" w:themeShade="80"/>
          <w:sz w:val="24"/>
          <w:szCs w:val="24"/>
          <w:u w:color="808080"/>
        </w:rPr>
      </w:pPr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Конференция длилась 4 дня. Одной из ключевых тем мероприятия стала проблема оценки качества дошкольного образования. В </w:t>
      </w:r>
      <w:proofErr w:type="gramStart"/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рамках</w:t>
      </w:r>
      <w:proofErr w:type="gramEnd"/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 специальной программы прошло </w:t>
      </w:r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lastRenderedPageBreak/>
        <w:t xml:space="preserve">Межрегиональное совещание с представителями региональных органов управления образованием из 62 субъектов РФ. На совещании было принято решение о создании Российской системы независимой оценки качества дошкольного образования (РОСНОК </w:t>
      </w:r>
      <w:proofErr w:type="gramStart"/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ДО</w:t>
      </w:r>
      <w:proofErr w:type="gramEnd"/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),  а также </w:t>
      </w:r>
      <w:proofErr w:type="gramStart"/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о</w:t>
      </w:r>
      <w:proofErr w:type="gramEnd"/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 создании Ассоциации, деятельность которой будет направлена на продвижение и распространение данной системы в России.</w:t>
      </w:r>
    </w:p>
    <w:p w:rsidR="00870B70" w:rsidRPr="00117E9A" w:rsidRDefault="00E002C4" w:rsidP="00124397">
      <w:pPr>
        <w:shd w:val="clear" w:color="auto" w:fill="FFFFFF"/>
        <w:spacing w:before="100" w:after="100" w:line="240" w:lineRule="auto"/>
        <w:rPr>
          <w:rFonts w:ascii="Times New Roman" w:eastAsia="PT Sans Narrow" w:hAnsi="Times New Roman" w:cs="Times New Roman"/>
          <w:color w:val="535353" w:themeColor="text2" w:themeShade="80"/>
          <w:sz w:val="24"/>
          <w:szCs w:val="24"/>
          <w:u w:color="808080"/>
        </w:rPr>
      </w:pPr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12 и 13 мая в рамках Конференции прошли 17 научных секций по наиболее актуальным темам дошкольного образования с участием отечественных и зарубежных экспертов. На пленарном заседании представили доклады ведущие ученые России и мира.</w:t>
      </w:r>
    </w:p>
    <w:p w:rsidR="00870B70" w:rsidRPr="00117E9A" w:rsidRDefault="00E002C4" w:rsidP="00124397">
      <w:pPr>
        <w:shd w:val="clear" w:color="auto" w:fill="FFFFFF"/>
        <w:spacing w:before="100" w:after="100" w:line="240" w:lineRule="auto"/>
        <w:rPr>
          <w:rFonts w:ascii="Times New Roman" w:eastAsia="PT Sans Narrow" w:hAnsi="Times New Roman" w:cs="Times New Roman"/>
          <w:color w:val="535353" w:themeColor="text2" w:themeShade="80"/>
          <w:sz w:val="24"/>
          <w:szCs w:val="24"/>
          <w:u w:color="808080"/>
        </w:rPr>
      </w:pPr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Роджер </w:t>
      </w:r>
      <w:proofErr w:type="spellStart"/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Сальо</w:t>
      </w:r>
      <w:proofErr w:type="spellEnd"/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 из Швеции говорил о</w:t>
      </w:r>
      <w:r w:rsidR="002969CF"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 распространении  информационных технологий</w:t>
      </w:r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 и </w:t>
      </w:r>
      <w:r w:rsidR="00755F33"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вызовах, встающих </w:t>
      </w:r>
      <w:r w:rsidR="002969CF"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в этой связи </w:t>
      </w:r>
      <w:r w:rsidR="00755F33"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перед обществом и системой дошкольного образования</w:t>
      </w:r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. «Существуют обширные возможности использования технологий в обучении, вернее сказать, образовательный процесс уже просто не может строиться без использования технологий». Как правильно внедрять технологии в начальной школе, и каких успехов можно достичь, если эти технологии внедрять разумно, спикер </w:t>
      </w:r>
      <w:r w:rsidR="00CA4FE0"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объяснил, опираясь на положения теории Л. С. В</w:t>
      </w:r>
      <w:r w:rsidR="002969CF"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ыготского и</w:t>
      </w:r>
      <w:r w:rsidR="00CA4FE0"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 опыт дошкольного образования стран</w:t>
      </w:r>
      <w:r w:rsidR="00D52FDD"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 Скандинавии</w:t>
      </w:r>
      <w:r w:rsidR="00CA4FE0"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.</w:t>
      </w:r>
    </w:p>
    <w:p w:rsidR="00870B70" w:rsidRPr="00117E9A" w:rsidRDefault="00CA4FE0" w:rsidP="00124397">
      <w:pPr>
        <w:shd w:val="clear" w:color="auto" w:fill="FFFFFF"/>
        <w:spacing w:before="100" w:after="100" w:line="240" w:lineRule="auto"/>
        <w:rPr>
          <w:rFonts w:ascii="Times New Roman" w:eastAsia="PT Sans Narrow" w:hAnsi="Times New Roman" w:cs="Times New Roman"/>
          <w:color w:val="535353" w:themeColor="text2" w:themeShade="80"/>
          <w:sz w:val="24"/>
          <w:szCs w:val="24"/>
          <w:u w:color="808080"/>
        </w:rPr>
      </w:pPr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Президент Американской психологической ассоциации Антонио</w:t>
      </w:r>
      <w:r w:rsidR="00D52FDD"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 </w:t>
      </w:r>
      <w:proofErr w:type="spellStart"/>
      <w:r w:rsidR="00D52FDD"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Пуэнте</w:t>
      </w:r>
      <w:proofErr w:type="spellEnd"/>
      <w:r w:rsidR="00D52FDD"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 представил результаты последних исследований в области нейропсихологии. Опираясь на методологические положения А. Р. </w:t>
      </w:r>
      <w:proofErr w:type="spellStart"/>
      <w:r w:rsidR="00D52FDD"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Лурии</w:t>
      </w:r>
      <w:proofErr w:type="spellEnd"/>
      <w:r w:rsidR="00D52FDD"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, докладчик указал на главенствующую роль культуры в развитии ребенка и призвал коллег развивать исследования в этой области.</w:t>
      </w:r>
    </w:p>
    <w:p w:rsidR="00755F33" w:rsidRPr="00117E9A" w:rsidRDefault="00755F33" w:rsidP="00124397">
      <w:pPr>
        <w:shd w:val="clear" w:color="auto" w:fill="FFFFFF"/>
        <w:spacing w:before="100" w:after="100" w:line="240" w:lineRule="auto"/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</w:pPr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О необходимости проведения междисциплинарных исследований в области дошкольного детства говорила Сильвия </w:t>
      </w:r>
      <w:proofErr w:type="spellStart"/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Коллер</w:t>
      </w:r>
      <w:proofErr w:type="spellEnd"/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, ученица  великого ученого, создателя экологического подхода в психологии </w:t>
      </w:r>
      <w:proofErr w:type="spellStart"/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Ури</w:t>
      </w:r>
      <w:proofErr w:type="spellEnd"/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 </w:t>
      </w:r>
      <w:proofErr w:type="spellStart"/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Бронфенбреннера</w:t>
      </w:r>
      <w:proofErr w:type="spellEnd"/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. При выстраивании образовательного процесса необходимо учитывать среду ребенка, </w:t>
      </w:r>
      <w:r w:rsidR="00124397"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но </w:t>
      </w:r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не только семью, но и более широкий контекст, в котором он развивается: детский сад, круг общения.</w:t>
      </w:r>
    </w:p>
    <w:p w:rsidR="00870B70" w:rsidRPr="00117E9A" w:rsidRDefault="00E002C4" w:rsidP="00124397">
      <w:pPr>
        <w:shd w:val="clear" w:color="auto" w:fill="FFFFFF"/>
        <w:spacing w:before="100" w:after="100" w:line="240" w:lineRule="auto"/>
        <w:rPr>
          <w:rFonts w:ascii="Times New Roman" w:eastAsia="PT Sans Narrow" w:hAnsi="Times New Roman" w:cs="Times New Roman"/>
          <w:color w:val="535353" w:themeColor="text2" w:themeShade="80"/>
          <w:sz w:val="24"/>
          <w:szCs w:val="24"/>
          <w:u w:color="808080"/>
        </w:rPr>
      </w:pPr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Лариса </w:t>
      </w:r>
      <w:proofErr w:type="spellStart"/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Баянова</w:t>
      </w:r>
      <w:proofErr w:type="spellEnd"/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, профессор Казанского университета, представила интересный доклад о балансе в таких тонких вещах, как освое</w:t>
      </w:r>
      <w:r w:rsidR="002969CF"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ние ребенком правил и проявление</w:t>
      </w:r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 креативности. </w:t>
      </w:r>
      <w:r w:rsidR="009C4BBD"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Наша культура, по словам эксперта, ориентирована </w:t>
      </w:r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на нормативность, но выясняется, что чем больше дети подчиняются правилам, тем меньше они способны проявлять креативность</w:t>
      </w:r>
      <w:r w:rsidR="002969CF"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. К</w:t>
      </w:r>
      <w:r w:rsidR="00124397"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ак </w:t>
      </w:r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нужно выстраивать образовательный процесс, чтобы не подавить способность ребенка к креативному мышлению</w:t>
      </w:r>
      <w:r w:rsidR="002969CF"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,</w:t>
      </w:r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 спикер рассказала участникам Конференции.</w:t>
      </w:r>
    </w:p>
    <w:p w:rsidR="00870B70" w:rsidRPr="00117E9A" w:rsidRDefault="009C4BBD" w:rsidP="00124397">
      <w:pPr>
        <w:shd w:val="clear" w:color="auto" w:fill="FFFFFF"/>
        <w:spacing w:before="100" w:after="100" w:line="240" w:lineRule="auto"/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</w:pPr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Доклад известного немецкого специалиста Вольфганга </w:t>
      </w:r>
      <w:proofErr w:type="spellStart"/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Титце</w:t>
      </w:r>
      <w:proofErr w:type="spellEnd"/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 был посвящён проблеме оценки и развития качества дошкольного образования. Автор рассказал о </w:t>
      </w:r>
      <w:r w:rsidR="00124397"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«</w:t>
      </w:r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немецком каталоге качества</w:t>
      </w:r>
      <w:r w:rsidR="00124397"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»</w:t>
      </w:r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 и подчеркнул необходимость и эффективность работы с командами детских садов, в </w:t>
      </w:r>
      <w:proofErr w:type="gramStart"/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ходе</w:t>
      </w:r>
      <w:proofErr w:type="gramEnd"/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 которой формируется коллектив единомышленников, ориентированный на позитивные изменения своей деятельности.</w:t>
      </w:r>
    </w:p>
    <w:p w:rsidR="00D52FDD" w:rsidRPr="00117E9A" w:rsidRDefault="00D52FDD" w:rsidP="00124397">
      <w:pPr>
        <w:shd w:val="clear" w:color="auto" w:fill="FFFFFF"/>
        <w:spacing w:before="100" w:after="100" w:line="240" w:lineRule="auto"/>
        <w:rPr>
          <w:rFonts w:ascii="Times New Roman" w:eastAsia="PT Sans Narrow" w:hAnsi="Times New Roman" w:cs="Times New Roman"/>
          <w:color w:val="535353" w:themeColor="text2" w:themeShade="80"/>
          <w:sz w:val="24"/>
          <w:szCs w:val="24"/>
          <w:u w:color="808080"/>
        </w:rPr>
      </w:pPr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Вне пленарного заседания на научных секциях Конференции прозвучали доклады и прошли секции п</w:t>
      </w:r>
      <w:r w:rsidR="00566E8F"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ри участии других не менее инте</w:t>
      </w:r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р</w:t>
      </w:r>
      <w:r w:rsidR="00566E8F"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е</w:t>
      </w:r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сных ученых </w:t>
      </w:r>
      <w:r w:rsidR="002969CF"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современности</w:t>
      </w:r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: Элли </w:t>
      </w:r>
      <w:proofErr w:type="spellStart"/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Сингер</w:t>
      </w:r>
      <w:proofErr w:type="spellEnd"/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 (Голландия), Соня Шеридан (Швеция), Урсула </w:t>
      </w:r>
      <w:proofErr w:type="spellStart"/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Штенгер</w:t>
      </w:r>
      <w:proofErr w:type="spellEnd"/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 (Германия) и др.</w:t>
      </w:r>
    </w:p>
    <w:p w:rsidR="00870B70" w:rsidRPr="00117E9A" w:rsidRDefault="00E002C4" w:rsidP="00124397">
      <w:pPr>
        <w:shd w:val="clear" w:color="auto" w:fill="FFFFFF"/>
        <w:spacing w:before="100" w:after="100" w:line="240" w:lineRule="auto"/>
        <w:rPr>
          <w:rFonts w:ascii="Times New Roman" w:eastAsia="PT Sans Narrow" w:hAnsi="Times New Roman" w:cs="Times New Roman"/>
          <w:color w:val="535353" w:themeColor="text2" w:themeShade="80"/>
          <w:sz w:val="24"/>
          <w:szCs w:val="24"/>
          <w:u w:color="808080"/>
        </w:rPr>
      </w:pPr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Обсуждение темы оценки качества образования продолжилось и в рамках научной работы. </w:t>
      </w:r>
      <w:r w:rsidR="00D52FDD"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У</w:t>
      </w:r>
      <w:r w:rsidR="009C4BBD"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ченые из </w:t>
      </w:r>
      <w:proofErr w:type="spellStart"/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Гётеборгского</w:t>
      </w:r>
      <w:proofErr w:type="spellEnd"/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 университета </w:t>
      </w:r>
      <w:r w:rsidR="009C4BBD"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и Московского городского педагогического университета представили</w:t>
      </w:r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 научному сообществу результаты новейш</w:t>
      </w:r>
      <w:r w:rsidR="009C4BBD"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их</w:t>
      </w:r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 исследовани</w:t>
      </w:r>
      <w:r w:rsidR="009C4BBD"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й</w:t>
      </w:r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 качества дошкольного образования, проведенного в </w:t>
      </w:r>
      <w:r w:rsidR="009C4BBD"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двух странах. </w:t>
      </w:r>
      <w:r w:rsidR="0070144C"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Р</w:t>
      </w:r>
      <w:r w:rsidR="009C4BBD"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азговор получился особенно интересным, учитывая тот факт, что Швеция </w:t>
      </w:r>
      <w:r w:rsidR="0070144C"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–</w:t>
      </w:r>
      <w:r w:rsidR="009C4BBD"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 страна с одной из лучших в мире систем дошкольного образования</w:t>
      </w:r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, законодательниц</w:t>
      </w:r>
      <w:r w:rsidR="0070144C"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а</w:t>
      </w:r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 мод в области воспитания и обучения.</w:t>
      </w:r>
    </w:p>
    <w:p w:rsidR="00870B70" w:rsidRPr="00117E9A" w:rsidRDefault="00E002C4" w:rsidP="00124397">
      <w:pPr>
        <w:shd w:val="clear" w:color="auto" w:fill="FFFFFF"/>
        <w:spacing w:before="100" w:after="100" w:line="240" w:lineRule="auto"/>
        <w:rPr>
          <w:rFonts w:ascii="Times New Roman" w:eastAsia="PT Sans Narrow" w:hAnsi="Times New Roman" w:cs="Times New Roman"/>
          <w:color w:val="535353" w:themeColor="text2" w:themeShade="80"/>
          <w:sz w:val="24"/>
          <w:szCs w:val="24"/>
          <w:u w:color="808080"/>
        </w:rPr>
      </w:pPr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Эксперты пришли к выводу, что самое важное </w:t>
      </w:r>
      <w:r w:rsidR="002969CF"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–</w:t>
      </w:r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 это совместная работа специалистов по оцениванию и сотрудников образовательных учреждений. Цель оценки качества образования – дать объективную информацию о сильных и слабых сто</w:t>
      </w:r>
      <w:r w:rsidR="00CF2D4B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ронах детского сада</w:t>
      </w:r>
      <w:proofErr w:type="gramStart"/>
      <w:r w:rsidR="00CF2D4B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.</w:t>
      </w:r>
      <w:proofErr w:type="gramEnd"/>
      <w:r w:rsidR="00CF2D4B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 </w:t>
      </w:r>
      <w:proofErr w:type="gramStart"/>
      <w:r w:rsidR="00CF2D4B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Со стороны последних</w:t>
      </w:r>
      <w:bookmarkStart w:id="0" w:name="_GoBack"/>
      <w:bookmarkEnd w:id="0"/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, в свою очередь, важна готовность расти и меняться в интересах ребенка.</w:t>
      </w:r>
      <w:proofErr w:type="gramEnd"/>
    </w:p>
    <w:p w:rsidR="00870B70" w:rsidRPr="00117E9A" w:rsidRDefault="00E002C4" w:rsidP="00566E8F">
      <w:pPr>
        <w:shd w:val="clear" w:color="auto" w:fill="FFFFFF"/>
        <w:spacing w:before="100" w:after="100" w:line="240" w:lineRule="auto"/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</w:pPr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lastRenderedPageBreak/>
        <w:t>Ряд мероприятий Конференции был приурочен к проводимому в России «Году экологии».</w:t>
      </w:r>
    </w:p>
    <w:p w:rsidR="00870B70" w:rsidRPr="00117E9A" w:rsidRDefault="00E002C4" w:rsidP="00566E8F">
      <w:pPr>
        <w:shd w:val="clear" w:color="auto" w:fill="FFFFFF"/>
        <w:spacing w:before="100" w:after="100" w:line="240" w:lineRule="auto"/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</w:pPr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11 мая вице-президент Европейского отделения Всемирной организации образования детей младшего возраста (ОМЕП)  </w:t>
      </w:r>
      <w:proofErr w:type="spellStart"/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Нектариос</w:t>
      </w:r>
      <w:proofErr w:type="spellEnd"/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 </w:t>
      </w:r>
      <w:proofErr w:type="spellStart"/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Стеллакис</w:t>
      </w:r>
      <w:proofErr w:type="spellEnd"/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 представил на конференции доклад об экологическом воспитании и подели</w:t>
      </w:r>
      <w:r w:rsidR="0070144C"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л</w:t>
      </w:r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ся опытом </w:t>
      </w:r>
      <w:r w:rsidR="002969CF"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работы </w:t>
      </w:r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с российскими коллегами.</w:t>
      </w:r>
    </w:p>
    <w:p w:rsidR="00870B70" w:rsidRPr="00117E9A" w:rsidRDefault="00E002C4" w:rsidP="00566E8F">
      <w:pPr>
        <w:shd w:val="clear" w:color="auto" w:fill="FFFFFF"/>
        <w:spacing w:before="100" w:after="100" w:line="240" w:lineRule="auto"/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</w:pPr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12 мая прошла научная секция «Экологическое образование детей младшего возраста в интересах устойчивого развития».  Руководителем секции выступила Наталья Рыжова, профессор Московского городского педагогического университета, национальный руководитель Международного проекта ОМЕП в России.</w:t>
      </w:r>
    </w:p>
    <w:p w:rsidR="00870B70" w:rsidRPr="00117E9A" w:rsidRDefault="00E002C4" w:rsidP="00566E8F">
      <w:pPr>
        <w:shd w:val="clear" w:color="auto" w:fill="FFFFFF"/>
        <w:spacing w:before="100" w:after="100" w:line="240" w:lineRule="auto"/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</w:pPr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По результатам работы секции были сформулированы предложения для включения экологической тематики в федеральные государственные образовательные стандарты и в образовательный процесс дошкольников.</w:t>
      </w:r>
    </w:p>
    <w:p w:rsidR="00D52FDD" w:rsidRPr="00117E9A" w:rsidRDefault="00E002C4" w:rsidP="00124397">
      <w:pPr>
        <w:shd w:val="clear" w:color="auto" w:fill="FFFFFF"/>
        <w:spacing w:before="100" w:after="100" w:line="240" w:lineRule="auto"/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</w:pPr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13 мая, в последний день Конференции, прошла Открытая образовательная программа для педагогов и родителей. Количество зарегистрировавшихся участников составило 2</w:t>
      </w:r>
      <w:r w:rsidR="001438AB"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25</w:t>
      </w:r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0 человек. </w:t>
      </w:r>
      <w:r w:rsidR="0070144C"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П</w:t>
      </w:r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артнеры конференции, авторы ведущих образовательных программ, разработчики информационных и мультимедиа-ресурсов, практикующие психологи, методисты детских издательств делились с участниками наиболее интересными практиками</w:t>
      </w:r>
      <w:r w:rsidR="0070144C"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 на семинарах, лекциях, мастер-классах</w:t>
      </w:r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. Говорили о том, как эффективно готовить детей к школе, как приобщить к экологии, как использовать информационные технологии с пользой.</w:t>
      </w:r>
    </w:p>
    <w:p w:rsidR="00870B70" w:rsidRPr="00117E9A" w:rsidRDefault="00E002C4" w:rsidP="00124397">
      <w:pPr>
        <w:shd w:val="clear" w:color="auto" w:fill="FFFFFF"/>
        <w:spacing w:before="100" w:after="100" w:line="240" w:lineRule="auto"/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</w:pPr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По мнению большинства участников Конференции-2017, программа мероприятия была удачно сбалансирована, удалось построить конструктивный диалог между всеми участниками образовательного процесса.</w:t>
      </w:r>
    </w:p>
    <w:p w:rsidR="00870B70" w:rsidRPr="00117E9A" w:rsidRDefault="00E002C4" w:rsidP="00124397">
      <w:pPr>
        <w:shd w:val="clear" w:color="auto" w:fill="FFFFFF"/>
        <w:spacing w:before="100" w:after="100" w:line="240" w:lineRule="auto"/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</w:pPr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Конференция</w:t>
      </w:r>
      <w:r w:rsidR="001438AB"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 всегда проходит на двух языках</w:t>
      </w:r>
      <w:r w:rsidR="0070144C"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:</w:t>
      </w:r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 на всех научных заседаниях организован синхронный перевод (английский/русский).</w:t>
      </w:r>
    </w:p>
    <w:p w:rsidR="00BC3284" w:rsidRPr="00117E9A" w:rsidRDefault="00327BF3" w:rsidP="00566E8F">
      <w:pPr>
        <w:shd w:val="clear" w:color="auto" w:fill="FFFFFF"/>
        <w:spacing w:before="100" w:after="100" w:line="240" w:lineRule="auto"/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</w:pPr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Специализированная выставка-ярмарка «Современное дошкольное образование» традиционно сопутствовала Конференции. На выставке 30 компаний представили инновационные разработки, технологии и методики в сфере дошкольного и начального школьного образования.</w:t>
      </w:r>
    </w:p>
    <w:p w:rsidR="00327BF3" w:rsidRPr="00117E9A" w:rsidRDefault="00327BF3" w:rsidP="00566E8F">
      <w:pPr>
        <w:shd w:val="clear" w:color="auto" w:fill="FFFFFF"/>
        <w:spacing w:before="100" w:after="100" w:line="240" w:lineRule="auto"/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</w:pPr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Среди участников выставки 2017 года: </w:t>
      </w:r>
      <w:proofErr w:type="gramStart"/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Школа счёта «</w:t>
      </w:r>
      <w:proofErr w:type="spellStart"/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Соробан</w:t>
      </w:r>
      <w:proofErr w:type="spellEnd"/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», издательства «МОЗАИКА-СИНТЕЗ», «Дрофа-</w:t>
      </w:r>
      <w:proofErr w:type="spellStart"/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Вентана</w:t>
      </w:r>
      <w:proofErr w:type="spellEnd"/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», «Просвещение», «Национальное образование», «CLEVER», «Манн, Иванов и Фербер», Издательский дом МГУ им. М. В. Ломоносова; журнал «KUTIS»</w:t>
      </w:r>
      <w:r w:rsidR="00566E8F"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 (Литва)</w:t>
      </w:r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 и </w:t>
      </w:r>
      <w:r w:rsidR="00566E8F"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образовательный анимационный проект</w:t>
      </w:r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 «</w:t>
      </w:r>
      <w:proofErr w:type="spellStart"/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Малышарики</w:t>
      </w:r>
      <w:proofErr w:type="spellEnd"/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», методический центр «РАЗУМ»; инновационные конструкторы:</w:t>
      </w:r>
      <w:proofErr w:type="gramEnd"/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 MAGFORMER, WAVEPLAY, BONDIBON; компании, специализирующиеся на </w:t>
      </w:r>
      <w:r w:rsidR="00566E8F"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производстве развивающих игрушек и </w:t>
      </w:r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оснащении предметно-пространственной среды </w:t>
      </w:r>
      <w:r w:rsidR="00566E8F"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детского сада</w:t>
      </w:r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: «МОЗАИКА-СИНТЕЗ», </w:t>
      </w:r>
      <w:proofErr w:type="spellStart"/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Дошколка</w:t>
      </w:r>
      <w:proofErr w:type="gramStart"/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.р</w:t>
      </w:r>
      <w:proofErr w:type="gramEnd"/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у</w:t>
      </w:r>
      <w:proofErr w:type="spellEnd"/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, РОСИГРУШКА, </w:t>
      </w:r>
      <w:proofErr w:type="spellStart"/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Монтессори</w:t>
      </w:r>
      <w:proofErr w:type="spellEnd"/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-Питер, Кубики Чаплыгина, Игрушечный домик; интерактивное оборудование и приложения: Fountain Digital с продуктом VIRRY, компании SAND STOL, </w:t>
      </w:r>
      <w:proofErr w:type="spellStart"/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NexTouch</w:t>
      </w:r>
      <w:proofErr w:type="spellEnd"/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, ИНФОМИР; детские тренажеры «MOOVE&amp;FUN» и другие.</w:t>
      </w:r>
    </w:p>
    <w:p w:rsidR="00870B70" w:rsidRPr="00117E9A" w:rsidRDefault="00E002C4" w:rsidP="00124397">
      <w:pPr>
        <w:shd w:val="clear" w:color="auto" w:fill="FFFFFF"/>
        <w:spacing w:before="100" w:after="100" w:line="240" w:lineRule="auto"/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</w:pPr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Организаторы ЕССЕ уже приступили к подготовке следующего мероприятия, которое пройдет в мае-июне 2018 года. Ведется обсуждение кандидатов на роль страны-партнера грядущего мероприятия. Возможно, наряду со статусом «страна-партнер», будет введен новый статус «регион-партнер», когда один из регионов России будет представлен расширенной делегацией и получит возможность  рассказать международной научной элите о своем уникальном опыте, лучших практиках, </w:t>
      </w:r>
      <w:r w:rsidR="00566E8F"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 xml:space="preserve">представить результаты </w:t>
      </w:r>
      <w:r w:rsidRPr="00117E9A">
        <w:rPr>
          <w:rFonts w:ascii="Times New Roman" w:hAnsi="Times New Roman" w:cs="Times New Roman"/>
          <w:color w:val="535353" w:themeColor="text2" w:themeShade="80"/>
          <w:sz w:val="24"/>
          <w:szCs w:val="24"/>
          <w:u w:color="808080"/>
        </w:rPr>
        <w:t>исследований.</w:t>
      </w:r>
    </w:p>
    <w:sectPr w:rsidR="00870B70" w:rsidRPr="00117E9A" w:rsidSect="00040825">
      <w:pgSz w:w="11900" w:h="16840"/>
      <w:pgMar w:top="1021" w:right="1021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624" w:rsidRDefault="00441624">
      <w:pPr>
        <w:spacing w:after="0" w:line="240" w:lineRule="auto"/>
      </w:pPr>
      <w:r>
        <w:separator/>
      </w:r>
    </w:p>
  </w:endnote>
  <w:endnote w:type="continuationSeparator" w:id="0">
    <w:p w:rsidR="00441624" w:rsidRDefault="0044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Narrow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624" w:rsidRDefault="00441624">
      <w:pPr>
        <w:spacing w:after="0" w:line="240" w:lineRule="auto"/>
      </w:pPr>
      <w:r>
        <w:separator/>
      </w:r>
    </w:p>
  </w:footnote>
  <w:footnote w:type="continuationSeparator" w:id="0">
    <w:p w:rsidR="00441624" w:rsidRDefault="00441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70B70"/>
    <w:rsid w:val="00040825"/>
    <w:rsid w:val="000A7C7B"/>
    <w:rsid w:val="00117E9A"/>
    <w:rsid w:val="00124397"/>
    <w:rsid w:val="001438AB"/>
    <w:rsid w:val="001973E8"/>
    <w:rsid w:val="002969CF"/>
    <w:rsid w:val="002B4B17"/>
    <w:rsid w:val="00327BF3"/>
    <w:rsid w:val="00441624"/>
    <w:rsid w:val="00566E8F"/>
    <w:rsid w:val="0070144C"/>
    <w:rsid w:val="00755F33"/>
    <w:rsid w:val="00870B70"/>
    <w:rsid w:val="009C4BBD"/>
    <w:rsid w:val="00AE0D36"/>
    <w:rsid w:val="00B14513"/>
    <w:rsid w:val="00BA71CE"/>
    <w:rsid w:val="00BC3284"/>
    <w:rsid w:val="00C91038"/>
    <w:rsid w:val="00CA4FE0"/>
    <w:rsid w:val="00CF2D4B"/>
    <w:rsid w:val="00D52FDD"/>
    <w:rsid w:val="00E002C4"/>
    <w:rsid w:val="00E5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pPr>
      <w:spacing w:before="100" w:after="100"/>
    </w:pPr>
    <w:rPr>
      <w:rFonts w:ascii="PT Sans Narrow" w:hAnsi="PT Sans Narrow" w:cs="Arial Unicode MS"/>
      <w:color w:val="515151"/>
      <w:sz w:val="24"/>
      <w:szCs w:val="24"/>
      <w:u w:color="515151"/>
    </w:rPr>
  </w:style>
  <w:style w:type="paragraph" w:styleId="a6">
    <w:name w:val="Balloon Text"/>
    <w:basedOn w:val="a"/>
    <w:link w:val="a7"/>
    <w:uiPriority w:val="99"/>
    <w:semiHidden/>
    <w:unhideWhenUsed/>
    <w:rsid w:val="00BC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284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8">
    <w:name w:val="header"/>
    <w:basedOn w:val="a"/>
    <w:link w:val="a9"/>
    <w:uiPriority w:val="99"/>
    <w:unhideWhenUsed/>
    <w:rsid w:val="00040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0825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040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0825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pPr>
      <w:spacing w:before="100" w:after="100"/>
    </w:pPr>
    <w:rPr>
      <w:rFonts w:ascii="PT Sans Narrow" w:hAnsi="PT Sans Narrow" w:cs="Arial Unicode MS"/>
      <w:color w:val="515151"/>
      <w:sz w:val="24"/>
      <w:szCs w:val="24"/>
      <w:u w:color="515151"/>
    </w:rPr>
  </w:style>
  <w:style w:type="paragraph" w:styleId="a6">
    <w:name w:val="Balloon Text"/>
    <w:basedOn w:val="a"/>
    <w:link w:val="a7"/>
    <w:uiPriority w:val="99"/>
    <w:semiHidden/>
    <w:unhideWhenUsed/>
    <w:rsid w:val="00BC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284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8">
    <w:name w:val="header"/>
    <w:basedOn w:val="a"/>
    <w:link w:val="a9"/>
    <w:uiPriority w:val="99"/>
    <w:unhideWhenUsed/>
    <w:rsid w:val="00040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0825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040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0825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Инесса Гринченко</dc:creator>
  <cp:lastModifiedBy>Инесса Гринченко</cp:lastModifiedBy>
  <cp:revision>4</cp:revision>
  <cp:lastPrinted>2017-05-18T09:09:00Z</cp:lastPrinted>
  <dcterms:created xsi:type="dcterms:W3CDTF">2017-05-18T08:42:00Z</dcterms:created>
  <dcterms:modified xsi:type="dcterms:W3CDTF">2017-05-19T08:56:00Z</dcterms:modified>
</cp:coreProperties>
</file>